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59907" w14:textId="77777777" w:rsidR="00D551C7" w:rsidRDefault="00D551C7" w:rsidP="00D551C7">
      <w:pPr>
        <w:pStyle w:val="Ttulo1"/>
      </w:pPr>
      <w:r>
        <w:t>Ementa</w:t>
      </w:r>
    </w:p>
    <w:p w14:paraId="03CC862D" w14:textId="77777777" w:rsidR="00D551C7" w:rsidRDefault="00D551C7">
      <w:r w:rsidRPr="00D551C7">
        <w:t>A disciplina explicará, por meio de um fio condutor baseado na história, a origem grega da proposta educacional fundada na concepção de homem omnilateral e a sua ulterior trajetória no contexto da chamada Civilização Ocidental até o advento da Época Moderna. Além disso, dispensará atenção particular à antinomia que se estabeleceu, a partir do século I d. C. , entre a Paidéia grega e a Paidéia em Cristo e como a primeira foi destruída pela segunda.</w:t>
      </w:r>
    </w:p>
    <w:p w14:paraId="58441DA6" w14:textId="5678EE69" w:rsidR="00D551C7" w:rsidRDefault="0095496A" w:rsidP="00D551C7">
      <w:pPr>
        <w:pStyle w:val="Ttulo1"/>
      </w:pPr>
      <w:r>
        <w:t>O</w:t>
      </w:r>
      <w:r w:rsidR="00D551C7">
        <w:t>bjetivos:</w:t>
      </w:r>
    </w:p>
    <w:p w14:paraId="48325713" w14:textId="77777777" w:rsidR="00D551C7" w:rsidRDefault="00D551C7" w:rsidP="00D551C7"/>
    <w:p w14:paraId="0467C943" w14:textId="77777777" w:rsidR="00D551C7" w:rsidRDefault="00D551C7" w:rsidP="00D551C7">
      <w:r>
        <w:t>- Conceituar a Filosofia da Educação como fundamentos teóricos e críticos dos conhecimentos e das práticas pedagógicas produzidas pela civilização ocidental da Grécia antiga ao iluminismo;</w:t>
      </w:r>
    </w:p>
    <w:p w14:paraId="4691C7FD" w14:textId="070AE277" w:rsidR="00D551C7" w:rsidRDefault="00D551C7" w:rsidP="00D551C7">
      <w:r>
        <w:t xml:space="preserve"> Explicar os Fundamentos Filosóficos da Educação por meio das obras clássicas geradas no âmbito da civilização ocidental.</w:t>
      </w:r>
    </w:p>
    <w:p w14:paraId="7E206E0D" w14:textId="77777777" w:rsidR="00CD3688" w:rsidRDefault="00CD3688" w:rsidP="00CD3688">
      <w:pPr>
        <w:pStyle w:val="Ttulo1"/>
      </w:pPr>
      <w:r>
        <w:t>Cronograma</w:t>
      </w:r>
    </w:p>
    <w:p w14:paraId="1E89FC26" w14:textId="77777777" w:rsidR="001256DD" w:rsidRPr="001256DD" w:rsidRDefault="001256DD" w:rsidP="001256DD">
      <w:pPr>
        <w:rPr>
          <w:b/>
        </w:rPr>
      </w:pPr>
      <w:r w:rsidRPr="001256DD">
        <w:rPr>
          <w:b/>
        </w:rPr>
        <w:t>Unidade 1</w:t>
      </w:r>
      <w:r w:rsidRPr="001256DD">
        <w:t xml:space="preserve"> </w:t>
      </w:r>
      <w:r w:rsidRPr="001256DD">
        <w:rPr>
          <w:b/>
        </w:rPr>
        <w:t xml:space="preserve">– Introdução a Filosofia da Educação: </w:t>
      </w:r>
    </w:p>
    <w:p w14:paraId="2E9B042A" w14:textId="17E4A2B9" w:rsidR="001256DD" w:rsidRPr="001256DD" w:rsidRDefault="001256DD" w:rsidP="001256DD">
      <w:r>
        <w:t>12</w:t>
      </w:r>
      <w:r w:rsidRPr="001256DD">
        <w:t xml:space="preserve">/8 – Apresentação do Programa da Disciplina / introdução à filosofia. </w:t>
      </w:r>
    </w:p>
    <w:p w14:paraId="0BFB883E" w14:textId="657FB34C" w:rsidR="001256DD" w:rsidRPr="001256DD" w:rsidRDefault="001256DD" w:rsidP="001256DD">
      <w:r>
        <w:t>19</w:t>
      </w:r>
      <w:r w:rsidRPr="001256DD">
        <w:t xml:space="preserve">/8 – O que é filosofia? DELEUZE, Gilles e GUATTARI, Félix. </w:t>
      </w:r>
      <w:r w:rsidRPr="001256DD">
        <w:rPr>
          <w:u w:val="single"/>
        </w:rPr>
        <w:t>O que é filosofia?</w:t>
      </w:r>
      <w:r w:rsidRPr="001256DD">
        <w:t xml:space="preserve"> São Paulo: editora 34, 2004, pp 9-21.</w:t>
      </w:r>
    </w:p>
    <w:p w14:paraId="173B4378" w14:textId="11A9BE59" w:rsidR="001256DD" w:rsidRPr="001256DD" w:rsidRDefault="001256DD" w:rsidP="001256DD">
      <w:r>
        <w:t>26/8</w:t>
      </w:r>
      <w:r w:rsidRPr="001256DD">
        <w:t xml:space="preserve"> – Contribuições da filosofia para a educação. VON ZUBEN, Newton Aquiles. Filosofia e Educação. </w:t>
      </w:r>
      <w:r w:rsidRPr="001256DD">
        <w:rPr>
          <w:u w:val="single"/>
        </w:rPr>
        <w:t>Revista Em Aberto</w:t>
      </w:r>
      <w:r w:rsidRPr="001256DD">
        <w:t>. Brasília, ano 9. n 45. jan mar. 1990, pp 11 a 18.</w:t>
      </w:r>
    </w:p>
    <w:p w14:paraId="57981115" w14:textId="77777777" w:rsidR="001256DD" w:rsidRPr="001256DD" w:rsidRDefault="001256DD" w:rsidP="001256DD">
      <w:pPr>
        <w:rPr>
          <w:b/>
        </w:rPr>
      </w:pPr>
      <w:r w:rsidRPr="001256DD">
        <w:rPr>
          <w:b/>
        </w:rPr>
        <w:t xml:space="preserve">Unidade 2 – A Filosofia da educação na Paidéia Grega: </w:t>
      </w:r>
    </w:p>
    <w:p w14:paraId="7FD43F32" w14:textId="44E4AE74" w:rsidR="001256DD" w:rsidRPr="001256DD" w:rsidRDefault="001256DD" w:rsidP="001256DD">
      <w:r>
        <w:t>02/9</w:t>
      </w:r>
      <w:r w:rsidRPr="001256DD">
        <w:t xml:space="preserve"> – O lugar dos gregos na história da educação. JAEGER, Werner. </w:t>
      </w:r>
      <w:r w:rsidRPr="001256DD">
        <w:rPr>
          <w:u w:val="single"/>
        </w:rPr>
        <w:t>Paidéia: a formação do homem grego</w:t>
      </w:r>
      <w:r w:rsidRPr="001256DD">
        <w:t>. 2ª ed. Tradução: Artur M. Parreira. São Paulo: Livraria Martins Fontes, 1994, pp. 03-20.</w:t>
      </w:r>
    </w:p>
    <w:p w14:paraId="0C8968F0" w14:textId="312EADA1" w:rsidR="001256DD" w:rsidRPr="001256DD" w:rsidRDefault="001256DD" w:rsidP="001256DD">
      <w:r>
        <w:lastRenderedPageBreak/>
        <w:t>09/09</w:t>
      </w:r>
      <w:r w:rsidRPr="001256DD">
        <w:t xml:space="preserve"> – Sócrates. SILVA, José Lourenço da. O que Sócrates Ensinava? in MARTINS, M. F.; PEREIRA, A. dos Reis. </w:t>
      </w:r>
      <w:r w:rsidRPr="001256DD">
        <w:rPr>
          <w:u w:val="single"/>
        </w:rPr>
        <w:t>Filosofia e Educação</w:t>
      </w:r>
      <w:r w:rsidRPr="001256DD">
        <w:t>: ensaio sobre autores clássicos. São Carlos: EDUFSCar, 2014, pp. 17-32</w:t>
      </w:r>
    </w:p>
    <w:p w14:paraId="0E8B77C3" w14:textId="1C0003CF" w:rsidR="001256DD" w:rsidRPr="001256DD" w:rsidRDefault="001256DD" w:rsidP="001256DD">
      <w:r>
        <w:t>16/09</w:t>
      </w:r>
      <w:r w:rsidRPr="001256DD">
        <w:t xml:space="preserve"> – Sócrates e os Sofistas. PLATÂO. </w:t>
      </w:r>
      <w:r w:rsidRPr="001256DD">
        <w:rPr>
          <w:u w:val="single"/>
        </w:rPr>
        <w:t>Diálogos</w:t>
      </w:r>
      <w:r w:rsidRPr="001256DD">
        <w:t>: Mênon, Banquete e Fedro. Rio de Janeiro: Ediouro, 1999, pp. 44-74.</w:t>
      </w:r>
    </w:p>
    <w:p w14:paraId="177E2CA3" w14:textId="35A58E16" w:rsidR="001256DD" w:rsidRPr="001256DD" w:rsidRDefault="001256DD" w:rsidP="001256DD">
      <w:r>
        <w:t>23/9</w:t>
      </w:r>
      <w:r w:rsidRPr="001256DD">
        <w:t xml:space="preserve"> – Platão. PLATÃO. </w:t>
      </w:r>
      <w:r w:rsidRPr="001256DD">
        <w:rPr>
          <w:u w:val="single"/>
        </w:rPr>
        <w:t>A república</w:t>
      </w:r>
      <w:r w:rsidRPr="001256DD">
        <w:t>. 5ª ed. Tradução: Maria Helena da Rocha Pereira. Lisboa: Fundação Calouste Gulbenkian, 1987, pp. 317-362.</w:t>
      </w:r>
    </w:p>
    <w:p w14:paraId="5E8336EA" w14:textId="1DCB498A" w:rsidR="001256DD" w:rsidRDefault="001256DD" w:rsidP="001256DD">
      <w:r>
        <w:t>30/9</w:t>
      </w:r>
      <w:r w:rsidRPr="001256DD">
        <w:t xml:space="preserve"> – Aristóteles. ARISTÓTELES. Livro VIII. In: _____. </w:t>
      </w:r>
      <w:r w:rsidRPr="001256DD">
        <w:rPr>
          <w:u w:val="single"/>
        </w:rPr>
        <w:t>Política.</w:t>
      </w:r>
      <w:r w:rsidRPr="001256DD">
        <w:t xml:space="preserve"> Tradução: Mário da Gama Kury. 2ª ed. Brasília: Editora Universidade de Brasília, 1988. p. 267-285. </w:t>
      </w:r>
    </w:p>
    <w:p w14:paraId="1AD0F90B" w14:textId="23093D77" w:rsidR="001256DD" w:rsidRPr="001256DD" w:rsidRDefault="001256DD" w:rsidP="001256DD">
      <w:r>
        <w:t>07/10 – Participação do professo</w:t>
      </w:r>
      <w:bookmarkStart w:id="0" w:name="_GoBack"/>
      <w:bookmarkEnd w:id="0"/>
      <w:r>
        <w:t>r na ANPED. Não haverá aula</w:t>
      </w:r>
    </w:p>
    <w:p w14:paraId="6ADE96B5" w14:textId="35E0EDA0" w:rsidR="001256DD" w:rsidRPr="001256DD" w:rsidRDefault="001256DD" w:rsidP="001256DD">
      <w:r>
        <w:t>14</w:t>
      </w:r>
      <w:r w:rsidR="009675E8">
        <w:t>/10 – Avaliação</w:t>
      </w:r>
    </w:p>
    <w:p w14:paraId="78488693" w14:textId="77777777" w:rsidR="001256DD" w:rsidRPr="001256DD" w:rsidRDefault="001256DD" w:rsidP="001256DD">
      <w:pPr>
        <w:rPr>
          <w:b/>
        </w:rPr>
      </w:pPr>
      <w:r w:rsidRPr="001256DD">
        <w:rPr>
          <w:b/>
        </w:rPr>
        <w:t>Unidade 3 – A Filosofia da Educação na Paidéia Cristã</w:t>
      </w:r>
    </w:p>
    <w:p w14:paraId="115FBA1B" w14:textId="156E3382" w:rsidR="001256DD" w:rsidRPr="001256DD" w:rsidRDefault="001256DD" w:rsidP="001256DD">
      <w:r>
        <w:t>21/10</w:t>
      </w:r>
      <w:r w:rsidRPr="001256DD">
        <w:t xml:space="preserve"> – Santo Agostinho. ROSSATTO, Noeli Dutra. Agostinho Educador. in MARTINS, M. F.; PEREIRA, A. dos Reis. </w:t>
      </w:r>
      <w:r w:rsidRPr="001256DD">
        <w:rPr>
          <w:u w:val="single"/>
        </w:rPr>
        <w:t>Filosofia e Educação</w:t>
      </w:r>
      <w:r w:rsidRPr="001256DD">
        <w:t>: ensaio sobre autores clássicos. São Carlos: EDUFSCar, 2014, pp. 61-77.</w:t>
      </w:r>
    </w:p>
    <w:p w14:paraId="2073454C" w14:textId="78219456" w:rsidR="001256DD" w:rsidRDefault="001256DD" w:rsidP="001256DD">
      <w:r>
        <w:t>28/10</w:t>
      </w:r>
      <w:r w:rsidRPr="001256DD">
        <w:t xml:space="preserve"> – Santo Tomás de Aquino. ALBERTUNI, Carlos Alberto in MARTINS, M. F.; PEREIRA, A. dos Reis. </w:t>
      </w:r>
      <w:r w:rsidRPr="001256DD">
        <w:rPr>
          <w:u w:val="single"/>
        </w:rPr>
        <w:t>Filosofia e Educação</w:t>
      </w:r>
      <w:r w:rsidRPr="001256DD">
        <w:t>: ensaio sobre autores clássicos. São Carlos: EDUFSCar, 2014, pp. 79-93.</w:t>
      </w:r>
    </w:p>
    <w:p w14:paraId="3B44A233" w14:textId="530F5B36" w:rsidR="001256DD" w:rsidRPr="001256DD" w:rsidRDefault="001256DD" w:rsidP="001256DD">
      <w:r>
        <w:t>04/11 Feriado Municipal</w:t>
      </w:r>
    </w:p>
    <w:p w14:paraId="013643E3" w14:textId="77777777" w:rsidR="001256DD" w:rsidRPr="001256DD" w:rsidRDefault="001256DD" w:rsidP="001256DD">
      <w:pPr>
        <w:rPr>
          <w:b/>
        </w:rPr>
      </w:pPr>
      <w:r w:rsidRPr="001256DD">
        <w:rPr>
          <w:b/>
        </w:rPr>
        <w:t>Unidade 4 – A Filosofia da Educação no Humanismo</w:t>
      </w:r>
    </w:p>
    <w:p w14:paraId="19D715B0" w14:textId="47CB1A32" w:rsidR="001256DD" w:rsidRPr="001256DD" w:rsidRDefault="001256DD" w:rsidP="001256DD">
      <w:r>
        <w:t>11</w:t>
      </w:r>
      <w:r w:rsidRPr="001256DD">
        <w:t xml:space="preserve">/11 – Erasmo de Rotterdam. ROTTERDAM, Erasmo de. </w:t>
      </w:r>
      <w:r w:rsidRPr="001256DD">
        <w:rPr>
          <w:u w:val="single"/>
        </w:rPr>
        <w:t>Elogio da Loucura</w:t>
      </w:r>
      <w:r w:rsidRPr="001256DD">
        <w:t>. São Paulo: Martins Fontes, 2008. (livro todo)</w:t>
      </w:r>
    </w:p>
    <w:p w14:paraId="6963B331" w14:textId="6F71828E" w:rsidR="001256DD" w:rsidRDefault="001256DD" w:rsidP="001256DD">
      <w:r>
        <w:t>18/11 – Professor participara de um evento científico. Não haverá aula</w:t>
      </w:r>
    </w:p>
    <w:p w14:paraId="6B67B995" w14:textId="53AD28E5" w:rsidR="001256DD" w:rsidRPr="001256DD" w:rsidRDefault="001256DD" w:rsidP="001256DD">
      <w:r w:rsidRPr="009675E8">
        <w:rPr>
          <w:lang w:val="fr-FR"/>
        </w:rPr>
        <w:t xml:space="preserve">25/11 – Montaigne. MONTAIGNE, Michel de. </w:t>
      </w:r>
      <w:r w:rsidRPr="009675E8">
        <w:rPr>
          <w:u w:val="single"/>
          <w:lang w:val="fr-FR"/>
        </w:rPr>
        <w:t>Ensaios</w:t>
      </w:r>
      <w:r w:rsidRPr="009675E8">
        <w:rPr>
          <w:lang w:val="fr-FR"/>
        </w:rPr>
        <w:t xml:space="preserve">. </w:t>
      </w:r>
      <w:r w:rsidRPr="001256DD">
        <w:t>São Paulo: Abril Cultural, 1972 (coleção os pensadores).</w:t>
      </w:r>
    </w:p>
    <w:p w14:paraId="223D3CD2" w14:textId="5D0F0B94" w:rsidR="001256DD" w:rsidRPr="001256DD" w:rsidRDefault="001256DD" w:rsidP="001256DD">
      <w:pPr>
        <w:rPr>
          <w:b/>
        </w:rPr>
      </w:pPr>
      <w:r>
        <w:t>02/12</w:t>
      </w:r>
      <w:r w:rsidRPr="001256DD">
        <w:t xml:space="preserve"> - </w:t>
      </w:r>
      <w:r>
        <w:t>A</w:t>
      </w:r>
      <w:r w:rsidRPr="001256DD">
        <w:t>valiação do curso</w:t>
      </w:r>
    </w:p>
    <w:p w14:paraId="6EF04683" w14:textId="2CE83ECB" w:rsidR="00D551C7" w:rsidRDefault="009D519D" w:rsidP="009D519D">
      <w:pPr>
        <w:pStyle w:val="Ttulo1"/>
      </w:pPr>
      <w:r>
        <w:lastRenderedPageBreak/>
        <w:t>Procedimentos de avaliação</w:t>
      </w:r>
    </w:p>
    <w:p w14:paraId="0702B4AA" w14:textId="77777777" w:rsidR="009D519D" w:rsidRDefault="009D519D" w:rsidP="009D519D">
      <w:r>
        <w:t xml:space="preserve">A avaliação dos alunos na disciplina deverá ser realizada processualmente, de acordo com os princípios da avaliação formativa. Os procedimentos serão os seguintes: </w:t>
      </w:r>
    </w:p>
    <w:p w14:paraId="2A3C9DCB" w14:textId="57D68078" w:rsidR="00B607C7" w:rsidRDefault="009D519D" w:rsidP="009D519D">
      <w:r>
        <w:t xml:space="preserve">Avaliação escrita que terá como referência as unidades 1 e 2, Peso 4,0 </w:t>
      </w:r>
    </w:p>
    <w:p w14:paraId="6FD90EA1" w14:textId="479E9811" w:rsidR="009D519D" w:rsidRDefault="009D519D" w:rsidP="009D519D">
      <w:r>
        <w:t>Seminário. Peso 4,0</w:t>
      </w:r>
      <w:r w:rsidR="00B607C7">
        <w:t xml:space="preserve"> </w:t>
      </w:r>
    </w:p>
    <w:p w14:paraId="75132348" w14:textId="65B0F090" w:rsidR="009D519D" w:rsidRDefault="009D519D" w:rsidP="009D519D">
      <w:r>
        <w:t>Síntese dos textos = Peso 2,0</w:t>
      </w:r>
    </w:p>
    <w:p w14:paraId="7A3D7777" w14:textId="77777777" w:rsidR="009D519D" w:rsidRDefault="009D519D" w:rsidP="009D519D">
      <w:r>
        <w:t xml:space="preserve">Avaliação complementar: </w:t>
      </w:r>
    </w:p>
    <w:p w14:paraId="64BDBFBF" w14:textId="231D093E" w:rsidR="009D519D" w:rsidRPr="009D519D" w:rsidRDefault="009D519D" w:rsidP="009D519D">
      <w:r>
        <w:t>O aluno que atingir entre 5,0 e 5,9 e que tenha o mínimo de 75% de frequência deverá realizar avaliação complementar de recuperação. Esta avaliação, escrita e individual, versará sobre todo o conteúdo trabalhado na disciplina e terá sua data e horário divulgados pela professora na primeira semana do semestre letivo subsequente, seguindo os prazos previstos na portaria GR n. 522/06.</w:t>
      </w:r>
    </w:p>
    <w:sectPr w:rsidR="009D519D" w:rsidRPr="009D51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761C8" w14:textId="77777777" w:rsidR="00BA12C5" w:rsidRDefault="00BA12C5" w:rsidP="00B607C7">
      <w:pPr>
        <w:spacing w:after="0" w:line="240" w:lineRule="auto"/>
      </w:pPr>
      <w:r>
        <w:separator/>
      </w:r>
    </w:p>
  </w:endnote>
  <w:endnote w:type="continuationSeparator" w:id="0">
    <w:p w14:paraId="0DA8D9CD" w14:textId="77777777" w:rsidR="00BA12C5" w:rsidRDefault="00BA12C5" w:rsidP="00B6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772AA" w14:textId="77777777" w:rsidR="00BA12C5" w:rsidRDefault="00BA12C5" w:rsidP="00B607C7">
      <w:pPr>
        <w:spacing w:after="0" w:line="240" w:lineRule="auto"/>
      </w:pPr>
      <w:r>
        <w:separator/>
      </w:r>
    </w:p>
  </w:footnote>
  <w:footnote w:type="continuationSeparator" w:id="0">
    <w:p w14:paraId="1F0D6324" w14:textId="77777777" w:rsidR="00BA12C5" w:rsidRDefault="00BA12C5" w:rsidP="00B6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8"/>
      <w:gridCol w:w="2772"/>
      <w:gridCol w:w="4214"/>
    </w:tblGrid>
    <w:tr w:rsidR="00B607C7" w:rsidRPr="00B607C7" w14:paraId="4AF55D3F" w14:textId="77777777" w:rsidTr="00B607C7">
      <w:tc>
        <w:tcPr>
          <w:tcW w:w="1526" w:type="dxa"/>
          <w:vAlign w:val="center"/>
        </w:tcPr>
        <w:p w14:paraId="7397D23E" w14:textId="76988595" w:rsidR="00B607C7" w:rsidRPr="00B607C7" w:rsidRDefault="00B607C7" w:rsidP="00B607C7">
          <w:pPr>
            <w:tabs>
              <w:tab w:val="center" w:pos="4419"/>
              <w:tab w:val="right" w:pos="8838"/>
            </w:tabs>
            <w:spacing w:after="0"/>
            <w:ind w:right="360"/>
            <w:rPr>
              <w:sz w:val="26"/>
              <w:szCs w:val="20"/>
            </w:rPr>
          </w:pPr>
          <w:r w:rsidRPr="00B607C7">
            <w:rPr>
              <w:noProof/>
              <w:sz w:val="26"/>
              <w:szCs w:val="20"/>
            </w:rPr>
            <w:drawing>
              <wp:inline distT="0" distB="0" distL="0" distR="0" wp14:anchorId="6DDDDDED" wp14:editId="46C45FB5">
                <wp:extent cx="571500" cy="419100"/>
                <wp:effectExtent l="0" t="0" r="0" b="0"/>
                <wp:docPr id="1" name="Imagem 1" descr="C:\Users\José Carlos\Google Drive\00 UFSCar\DED\LogoUFSCa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Google Drive\00 UFSCar\DED\LogoUFSCa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22698C30" w14:textId="77777777" w:rsidR="00B607C7" w:rsidRPr="00B607C7" w:rsidRDefault="00B607C7" w:rsidP="00B607C7">
          <w:pPr>
            <w:tabs>
              <w:tab w:val="center" w:pos="4419"/>
              <w:tab w:val="right" w:pos="8838"/>
            </w:tabs>
            <w:spacing w:after="0" w:line="240" w:lineRule="auto"/>
            <w:ind w:right="357"/>
            <w:rPr>
              <w:b/>
              <w:sz w:val="26"/>
              <w:szCs w:val="20"/>
            </w:rPr>
          </w:pPr>
          <w:r w:rsidRPr="00B607C7">
            <w:rPr>
              <w:b/>
              <w:sz w:val="26"/>
              <w:szCs w:val="20"/>
            </w:rPr>
            <w:t>Curso de Pedagogia</w:t>
          </w:r>
        </w:p>
      </w:tc>
      <w:tc>
        <w:tcPr>
          <w:tcW w:w="4709" w:type="dxa"/>
          <w:vAlign w:val="center"/>
        </w:tcPr>
        <w:p w14:paraId="4633C40F" w14:textId="77777777" w:rsidR="00B607C7" w:rsidRPr="00B607C7" w:rsidRDefault="00B607C7" w:rsidP="00B607C7">
          <w:pPr>
            <w:tabs>
              <w:tab w:val="center" w:pos="4419"/>
              <w:tab w:val="right" w:pos="8838"/>
            </w:tabs>
            <w:spacing w:after="0" w:line="240" w:lineRule="auto"/>
            <w:ind w:right="357"/>
            <w:rPr>
              <w:b/>
              <w:sz w:val="26"/>
              <w:szCs w:val="20"/>
            </w:rPr>
          </w:pPr>
          <w:r w:rsidRPr="00B607C7">
            <w:rPr>
              <w:b/>
              <w:sz w:val="26"/>
              <w:szCs w:val="20"/>
            </w:rPr>
            <w:t>Filosofia da Educação</w:t>
          </w:r>
        </w:p>
      </w:tc>
    </w:tr>
  </w:tbl>
  <w:p w14:paraId="5253ECF2" w14:textId="77777777" w:rsidR="00B607C7" w:rsidRDefault="00B607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C7"/>
    <w:rsid w:val="000A67AB"/>
    <w:rsid w:val="001256DD"/>
    <w:rsid w:val="002416E4"/>
    <w:rsid w:val="00312ADB"/>
    <w:rsid w:val="00366F96"/>
    <w:rsid w:val="00466A55"/>
    <w:rsid w:val="004B3DA3"/>
    <w:rsid w:val="006B5387"/>
    <w:rsid w:val="00745696"/>
    <w:rsid w:val="0095496A"/>
    <w:rsid w:val="009675E8"/>
    <w:rsid w:val="009C57F2"/>
    <w:rsid w:val="009D519D"/>
    <w:rsid w:val="009F6174"/>
    <w:rsid w:val="00AD55B6"/>
    <w:rsid w:val="00B607C7"/>
    <w:rsid w:val="00BA12C5"/>
    <w:rsid w:val="00CD3688"/>
    <w:rsid w:val="00D31126"/>
    <w:rsid w:val="00D5451D"/>
    <w:rsid w:val="00D551C7"/>
    <w:rsid w:val="00E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3065"/>
  <w15:chartTrackingRefBased/>
  <w15:docId w15:val="{83C38EE1-5006-47A6-85ED-85A9304F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6A"/>
    <w:pPr>
      <w:spacing w:after="20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5496A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57F2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9C57F2"/>
    <w:pPr>
      <w:spacing w:before="200" w:after="160" w:line="240" w:lineRule="auto"/>
      <w:ind w:left="2268"/>
    </w:pPr>
    <w:rPr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C57F2"/>
    <w:rPr>
      <w:rFonts w:ascii="Times New Roman" w:hAnsi="Times New Roman"/>
      <w:iCs/>
      <w:color w:val="404040" w:themeColor="text1" w:themeTint="BF"/>
      <w:sz w:val="24"/>
    </w:rPr>
  </w:style>
  <w:style w:type="paragraph" w:customStyle="1" w:styleId="10">
    <w:name w:val="10"/>
    <w:basedOn w:val="Normal"/>
    <w:rsid w:val="009C57F2"/>
    <w:pPr>
      <w:spacing w:line="276" w:lineRule="auto"/>
    </w:pPr>
    <w:rPr>
      <w:rFonts w:ascii="Calibri" w:eastAsia="Times New Roman" w:hAnsi="Calibri" w:cs="Times New Roman"/>
      <w:szCs w:val="24"/>
      <w:lang w:val="pt-PT"/>
    </w:rPr>
  </w:style>
  <w:style w:type="character" w:customStyle="1" w:styleId="hps">
    <w:name w:val="hps"/>
    <w:basedOn w:val="Fontepargpadro"/>
    <w:rsid w:val="009C57F2"/>
    <w:rPr>
      <w:rFonts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95496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C57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57F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57F2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57F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9C57F2"/>
    <w:pPr>
      <w:spacing w:after="240"/>
    </w:pPr>
  </w:style>
  <w:style w:type="character" w:customStyle="1" w:styleId="CorpodetextoChar">
    <w:name w:val="Corpo de texto Char"/>
    <w:basedOn w:val="Fontepargpadro"/>
    <w:link w:val="Corpodetexto"/>
    <w:uiPriority w:val="99"/>
    <w:rsid w:val="009C57F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9C57F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customStyle="1" w:styleId="Legttulo">
    <w:name w:val="Leg título"/>
    <w:basedOn w:val="Normal"/>
    <w:qFormat/>
    <w:rsid w:val="009C57F2"/>
    <w:pPr>
      <w:keepNext/>
      <w:spacing w:before="240" w:after="120" w:line="240" w:lineRule="auto"/>
      <w:jc w:val="left"/>
    </w:pPr>
    <w:rPr>
      <w:rFonts w:eastAsia="Times New Roman" w:cs="Times New Roman"/>
      <w:b/>
      <w:sz w:val="20"/>
    </w:rPr>
  </w:style>
  <w:style w:type="character" w:customStyle="1" w:styleId="atn">
    <w:name w:val="atn"/>
    <w:basedOn w:val="Fontepargpadro"/>
    <w:rsid w:val="009C57F2"/>
    <w:rPr>
      <w:rFonts w:cs="Times New Roman"/>
    </w:rPr>
  </w:style>
  <w:style w:type="character" w:customStyle="1" w:styleId="st">
    <w:name w:val="st"/>
    <w:basedOn w:val="Fontepargpadro"/>
    <w:rsid w:val="009C57F2"/>
    <w:rPr>
      <w:rFonts w:cs="Times New Roman"/>
    </w:rPr>
  </w:style>
  <w:style w:type="character" w:styleId="nfase">
    <w:name w:val="Emphasis"/>
    <w:basedOn w:val="Fontepargpadro"/>
    <w:uiPriority w:val="20"/>
    <w:qFormat/>
    <w:rsid w:val="009C57F2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9C57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456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6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5696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56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5696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69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60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7C7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60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7C7"/>
    <w:rPr>
      <w:rFonts w:ascii="Times New Roman" w:hAnsi="Times New Roman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607C7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Rothen</dc:creator>
  <cp:keywords/>
  <dc:description/>
  <cp:lastModifiedBy>José Carlos Rothen</cp:lastModifiedBy>
  <cp:revision>8</cp:revision>
  <dcterms:created xsi:type="dcterms:W3CDTF">2015-07-31T12:33:00Z</dcterms:created>
  <dcterms:modified xsi:type="dcterms:W3CDTF">2015-07-31T15:11:00Z</dcterms:modified>
</cp:coreProperties>
</file>